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8321"/>
      </w:tblGrid>
      <w:tr w:rsidR="00AD09BD" w:rsidRPr="0078763C" w:rsidTr="00AD09BD">
        <w:tc>
          <w:tcPr>
            <w:tcW w:w="2235" w:type="dxa"/>
            <w:vMerge w:val="restart"/>
            <w:vAlign w:val="center"/>
          </w:tcPr>
          <w:p w:rsidR="00AD09BD" w:rsidRPr="00AD09BD" w:rsidRDefault="00AD09BD" w:rsidP="004D5D13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  <w:r w:rsidRPr="00AD09BD"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7512" w:type="dxa"/>
          </w:tcPr>
          <w:p w:rsidR="00AD09BD" w:rsidRPr="00AD09BD" w:rsidRDefault="00E934AB" w:rsidP="004D5D13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</w:pPr>
            <w:r w:rsidRPr="00E934AB"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  <w:t>Handbook for Estimating the Socio-economic and Environmental Effects of Disasters</w:t>
            </w:r>
          </w:p>
        </w:tc>
      </w:tr>
      <w:tr w:rsidR="00AD09BD" w:rsidRPr="0078763C" w:rsidTr="00F430B9">
        <w:tc>
          <w:tcPr>
            <w:tcW w:w="2235" w:type="dxa"/>
            <w:vMerge/>
          </w:tcPr>
          <w:p w:rsidR="00AD09BD" w:rsidRPr="00AD09BD" w:rsidRDefault="00AD09BD" w:rsidP="004D5D13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512" w:type="dxa"/>
          </w:tcPr>
          <w:p w:rsidR="00AD09BD" w:rsidRPr="00AD09BD" w:rsidRDefault="00C34433" w:rsidP="004D5D13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 w:rsidRPr="00C3443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Economic Co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m</w:t>
            </w:r>
            <w:r w:rsidRPr="00C3443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mission for Latin America and the Caribbean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(ECLAC)</w:t>
            </w:r>
          </w:p>
        </w:tc>
      </w:tr>
      <w:tr w:rsidR="00AD09BD" w:rsidRPr="0078763C" w:rsidTr="00F430B9">
        <w:tc>
          <w:tcPr>
            <w:tcW w:w="2235" w:type="dxa"/>
            <w:vMerge/>
          </w:tcPr>
          <w:p w:rsidR="00AD09BD" w:rsidRPr="00AD09BD" w:rsidRDefault="00AD09BD" w:rsidP="004D5D13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512" w:type="dxa"/>
          </w:tcPr>
          <w:p w:rsidR="00AD09BD" w:rsidRPr="00AD09BD" w:rsidRDefault="00C34433" w:rsidP="004D5D13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 w:rsidRPr="00C3443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ECLAC. (2003). Handbook for Estimating the Socio-economic and Environmental Effects of Disasters. Retrieved from http://www.eclac.org/publicaciones/xml/4/12774/lcmexg5i_VOLUME_Ia.pdf</w:t>
            </w:r>
          </w:p>
        </w:tc>
      </w:tr>
      <w:tr w:rsidR="00F430B9" w:rsidRPr="0078763C" w:rsidTr="00F430B9">
        <w:tc>
          <w:tcPr>
            <w:tcW w:w="2235" w:type="dxa"/>
          </w:tcPr>
          <w:p w:rsidR="00F430B9" w:rsidRPr="00AD09BD" w:rsidRDefault="00F430B9" w:rsidP="004D5D13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  <w:r w:rsidRPr="00AD09BD"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  <w:t>Scope</w:t>
            </w:r>
          </w:p>
        </w:tc>
        <w:tc>
          <w:tcPr>
            <w:tcW w:w="7512" w:type="dxa"/>
          </w:tcPr>
          <w:p w:rsidR="00F430B9" w:rsidRPr="004D5D13" w:rsidRDefault="00C34433" w:rsidP="004D5D13">
            <w:pPr>
              <w:autoSpaceDE w:val="0"/>
              <w:autoSpaceDN w:val="0"/>
              <w:adjustRightInd w:val="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 w:rsidRPr="00C3443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This Handbook describes the methods required to assess the social, economic and environmental effects of disasters, breaking them down into direct damages and indirect losses and into ov</w:t>
            </w:r>
            <w:r w:rsidR="00DA53F8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erall and macroeconomic effects.</w:t>
            </w:r>
            <w:r w:rsidR="004D5D1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="004D5D13" w:rsidRPr="004D5D1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The ultimate goal of the assessment methodology presented herein is to</w:t>
            </w:r>
            <w:r w:rsidR="004D5D1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="004D5D13" w:rsidRPr="004D5D1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measure in monetary terms the impact of disasters on the society, economy and</w:t>
            </w:r>
            <w:r w:rsidR="004D5D1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="004D5D13" w:rsidRPr="004D5D1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environment of the affected country or region</w:t>
            </w:r>
            <w:r w:rsidR="004D5D1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.</w:t>
            </w:r>
          </w:p>
        </w:tc>
      </w:tr>
    </w:tbl>
    <w:tbl>
      <w:tblPr>
        <w:tblStyle w:val="LightShading-Accent1"/>
        <w:tblW w:w="9747" w:type="dxa"/>
        <w:tblLook w:val="04A0" w:firstRow="1" w:lastRow="0" w:firstColumn="1" w:lastColumn="0" w:noHBand="0" w:noVBand="1"/>
      </w:tblPr>
      <w:tblGrid>
        <w:gridCol w:w="2235"/>
        <w:gridCol w:w="2504"/>
        <w:gridCol w:w="2504"/>
        <w:gridCol w:w="2504"/>
      </w:tblGrid>
      <w:tr w:rsidR="00F430B9" w:rsidRPr="00AE5697" w:rsidTr="00AD0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:rsidR="00F430B9" w:rsidRPr="00AE5697" w:rsidRDefault="00F430B9" w:rsidP="00AD09BD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b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/>
                <w:i/>
                <w:color w:val="auto"/>
                <w:sz w:val="22"/>
                <w:szCs w:val="22"/>
                <w:lang w:val="en-GB"/>
              </w:rPr>
              <w:t>Impacts</w:t>
            </w:r>
          </w:p>
        </w:tc>
        <w:tc>
          <w:tcPr>
            <w:tcW w:w="2504" w:type="dxa"/>
          </w:tcPr>
          <w:p w:rsidR="00F430B9" w:rsidRPr="00AE5697" w:rsidRDefault="00F430B9" w:rsidP="00AD09BD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Environmental</w:t>
            </w:r>
          </w:p>
        </w:tc>
        <w:tc>
          <w:tcPr>
            <w:tcW w:w="2504" w:type="dxa"/>
          </w:tcPr>
          <w:p w:rsidR="00F430B9" w:rsidRPr="00AE5697" w:rsidRDefault="00F430B9" w:rsidP="00AD09BD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Social</w:t>
            </w:r>
          </w:p>
        </w:tc>
        <w:tc>
          <w:tcPr>
            <w:tcW w:w="2504" w:type="dxa"/>
          </w:tcPr>
          <w:p w:rsidR="00F430B9" w:rsidRPr="00AE5697" w:rsidRDefault="00F430B9" w:rsidP="00AD09BD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Economic</w:t>
            </w:r>
          </w:p>
        </w:tc>
      </w:tr>
      <w:tr w:rsidR="00F430B9" w:rsidRPr="00AE5697" w:rsidTr="00F4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F430B9" w:rsidRPr="00AE5697" w:rsidRDefault="00F430B9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</w:tcPr>
          <w:p w:rsidR="00F430B9" w:rsidRPr="00AE5697" w:rsidRDefault="00F430B9" w:rsidP="00F430B9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  <w:sym w:font="Wingdings" w:char="F0FC"/>
            </w:r>
          </w:p>
        </w:tc>
        <w:tc>
          <w:tcPr>
            <w:tcW w:w="2504" w:type="dxa"/>
          </w:tcPr>
          <w:p w:rsidR="00F430B9" w:rsidRPr="00AE5697" w:rsidRDefault="00F430B9" w:rsidP="00F430B9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  <w:sym w:font="Wingdings" w:char="F0FC"/>
            </w:r>
          </w:p>
        </w:tc>
        <w:tc>
          <w:tcPr>
            <w:tcW w:w="2504" w:type="dxa"/>
          </w:tcPr>
          <w:p w:rsidR="00F430B9" w:rsidRPr="00AE5697" w:rsidRDefault="00F430B9" w:rsidP="00F430B9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  <w:sym w:font="Wingdings" w:char="F0FC"/>
            </w:r>
          </w:p>
        </w:tc>
      </w:tr>
      <w:tr w:rsidR="00F430B9" w:rsidRPr="0078763C" w:rsidTr="002B3DA2">
        <w:trPr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F430B9" w:rsidRPr="00AE5697" w:rsidRDefault="00F430B9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</w:tcPr>
          <w:p w:rsidR="00F430B9" w:rsidRPr="00AE5697" w:rsidRDefault="004D5D13" w:rsidP="000110FB">
            <w:pPr>
              <w:spacing w:before="80" w:after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US"/>
              </w:rPr>
              <w:t>Assessment of the environmental damages caused by climate change</w:t>
            </w:r>
          </w:p>
        </w:tc>
        <w:tc>
          <w:tcPr>
            <w:tcW w:w="2504" w:type="dxa"/>
          </w:tcPr>
          <w:p w:rsidR="00F430B9" w:rsidRPr="00AE5697" w:rsidRDefault="00DA53F8" w:rsidP="000602E5">
            <w:pPr>
              <w:spacing w:before="80" w:after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Specific foc</w:t>
            </w:r>
            <w:r w:rsidR="004D5D13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us on different social sectors: housing; education and culture; health; impacts on women. </w:t>
            </w:r>
          </w:p>
        </w:tc>
        <w:tc>
          <w:tcPr>
            <w:tcW w:w="2504" w:type="dxa"/>
          </w:tcPr>
          <w:p w:rsidR="00F430B9" w:rsidRPr="006265A9" w:rsidRDefault="002B3DA2" w:rsidP="002B3DA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Direct impact assessment with the determination of the value of the assets lost in the disaster. Economic estimation of the indirect impact through the reconstruction of the economic flows. </w:t>
            </w:r>
          </w:p>
        </w:tc>
      </w:tr>
      <w:tr w:rsidR="00F430B9" w:rsidRPr="00AE5697" w:rsidTr="00F4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F430B9" w:rsidRPr="00AE5697" w:rsidRDefault="00F430B9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504" w:type="dxa"/>
          </w:tcPr>
          <w:p w:rsidR="00F430B9" w:rsidRPr="00AE5697" w:rsidRDefault="00F430B9" w:rsidP="00AD09BD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Direct - Indirect</w:t>
            </w:r>
          </w:p>
        </w:tc>
        <w:tc>
          <w:tcPr>
            <w:tcW w:w="2504" w:type="dxa"/>
          </w:tcPr>
          <w:p w:rsidR="00F430B9" w:rsidRPr="00AE5697" w:rsidRDefault="00F430B9" w:rsidP="00AD09BD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Direct - Indirect</w:t>
            </w:r>
          </w:p>
        </w:tc>
        <w:tc>
          <w:tcPr>
            <w:tcW w:w="2504" w:type="dxa"/>
          </w:tcPr>
          <w:p w:rsidR="00F430B9" w:rsidRPr="00AE5697" w:rsidRDefault="00F430B9" w:rsidP="00AD09BD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Direct - Indirect</w:t>
            </w:r>
          </w:p>
        </w:tc>
      </w:tr>
      <w:tr w:rsidR="0078763C" w:rsidRPr="00AE5697" w:rsidTr="00F43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78763C" w:rsidRPr="00AE5697" w:rsidRDefault="0078763C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</w:tcPr>
          <w:p w:rsidR="0078763C" w:rsidRPr="00AE5697" w:rsidRDefault="0078763C" w:rsidP="000D6353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Tangible</w:t>
            </w:r>
            <w:r w:rsidRPr="006F24D1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 xml:space="preserve"> - In</w:t>
            </w:r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tangible</w:t>
            </w:r>
          </w:p>
        </w:tc>
        <w:tc>
          <w:tcPr>
            <w:tcW w:w="2504" w:type="dxa"/>
          </w:tcPr>
          <w:p w:rsidR="0078763C" w:rsidRPr="00AE5697" w:rsidRDefault="0078763C" w:rsidP="000D6353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Tangible</w:t>
            </w:r>
            <w:r w:rsidRPr="006F24D1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 xml:space="preserve"> - In</w:t>
            </w:r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tangible</w:t>
            </w:r>
          </w:p>
        </w:tc>
        <w:tc>
          <w:tcPr>
            <w:tcW w:w="2504" w:type="dxa"/>
          </w:tcPr>
          <w:p w:rsidR="0078763C" w:rsidRPr="00AE5697" w:rsidRDefault="0078763C" w:rsidP="000D6353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Tangible</w:t>
            </w:r>
            <w:r w:rsidRPr="006F24D1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 xml:space="preserve"> - In</w:t>
            </w:r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tangible</w:t>
            </w:r>
          </w:p>
        </w:tc>
      </w:tr>
    </w:tbl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E302BE" w:rsidRPr="00AE5697" w:rsidTr="00AE5697">
        <w:trPr>
          <w:trHeight w:val="626"/>
        </w:trPr>
        <w:tc>
          <w:tcPr>
            <w:tcW w:w="1809" w:type="dxa"/>
          </w:tcPr>
          <w:p w:rsidR="00E302BE" w:rsidRPr="00AE5697" w:rsidRDefault="00E302BE" w:rsidP="00AD09BD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 xml:space="preserve">Case Studies </w:t>
            </w:r>
          </w:p>
        </w:tc>
        <w:tc>
          <w:tcPr>
            <w:tcW w:w="7938" w:type="dxa"/>
          </w:tcPr>
          <w:p w:rsidR="00E302BE" w:rsidRPr="00AE5697" w:rsidRDefault="00771CDF" w:rsidP="00AB670E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No </w:t>
            </w:r>
          </w:p>
        </w:tc>
      </w:tr>
      <w:tr w:rsidR="00E302BE" w:rsidRPr="0078763C" w:rsidTr="006265A9">
        <w:trPr>
          <w:trHeight w:val="647"/>
        </w:trPr>
        <w:tc>
          <w:tcPr>
            <w:tcW w:w="1809" w:type="dxa"/>
          </w:tcPr>
          <w:p w:rsidR="00E302BE" w:rsidRPr="00AE5697" w:rsidRDefault="00E302BE" w:rsidP="00AD09BD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Uncertainty</w:t>
            </w:r>
          </w:p>
        </w:tc>
        <w:tc>
          <w:tcPr>
            <w:tcW w:w="7938" w:type="dxa"/>
          </w:tcPr>
          <w:p w:rsidR="00AE5697" w:rsidRPr="00AE5697" w:rsidRDefault="00476459" w:rsidP="00AE5697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No specific indications about how uncertainty is treated</w:t>
            </w:r>
          </w:p>
        </w:tc>
      </w:tr>
      <w:tr w:rsidR="00E302BE" w:rsidRPr="00AE5697" w:rsidTr="00AE5697">
        <w:trPr>
          <w:trHeight w:val="688"/>
        </w:trPr>
        <w:tc>
          <w:tcPr>
            <w:tcW w:w="1809" w:type="dxa"/>
          </w:tcPr>
          <w:p w:rsidR="00E302BE" w:rsidRPr="00AE5697" w:rsidRDefault="00E302BE" w:rsidP="00AD09BD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 xml:space="preserve">Climate Change </w:t>
            </w:r>
          </w:p>
        </w:tc>
        <w:tc>
          <w:tcPr>
            <w:tcW w:w="7938" w:type="dxa"/>
          </w:tcPr>
          <w:p w:rsidR="00E302BE" w:rsidRPr="00AE5697" w:rsidRDefault="00AE5697" w:rsidP="00AB670E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No. The guidance is not specifically aimed at the assessment of climate change patterns. It is specifically focused on impact assessment.</w:t>
            </w:r>
          </w:p>
        </w:tc>
      </w:tr>
      <w:tr w:rsidR="00C6686B" w:rsidRPr="0078763C" w:rsidTr="00AE5697">
        <w:trPr>
          <w:trHeight w:val="689"/>
        </w:trPr>
        <w:tc>
          <w:tcPr>
            <w:tcW w:w="1809" w:type="dxa"/>
          </w:tcPr>
          <w:p w:rsidR="00C6686B" w:rsidRPr="00AE5697" w:rsidRDefault="00AD09BD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Flood</w:t>
            </w:r>
          </w:p>
        </w:tc>
        <w:tc>
          <w:tcPr>
            <w:tcW w:w="7938" w:type="dxa"/>
          </w:tcPr>
          <w:p w:rsidR="00C6686B" w:rsidRPr="00AE5697" w:rsidRDefault="00476459" w:rsidP="00AB670E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The guidance is focused on natural disasters in general, not specifically on flood.</w:t>
            </w:r>
          </w:p>
        </w:tc>
      </w:tr>
      <w:tr w:rsidR="00C6686B" w:rsidRPr="0078763C" w:rsidTr="00AE5697">
        <w:trPr>
          <w:trHeight w:val="302"/>
        </w:trPr>
        <w:tc>
          <w:tcPr>
            <w:tcW w:w="1809" w:type="dxa"/>
          </w:tcPr>
          <w:p w:rsidR="00C6686B" w:rsidRPr="00AE5697" w:rsidRDefault="00C6686B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Data need</w:t>
            </w:r>
          </w:p>
        </w:tc>
        <w:tc>
          <w:tcPr>
            <w:tcW w:w="7938" w:type="dxa"/>
          </w:tcPr>
          <w:p w:rsidR="00C6686B" w:rsidRPr="00AE5697" w:rsidRDefault="006265A9" w:rsidP="006265A9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6265A9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The reliability of the information obtained should be verified in the field. Sampling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6265A9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should often be used to determine both the number of units affected and the magnitude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6265A9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or extent of damage, applying appropriate assessment criteria in each case. </w:t>
            </w:r>
          </w:p>
        </w:tc>
      </w:tr>
      <w:tr w:rsidR="00E302BE" w:rsidRPr="00AE5697" w:rsidTr="00AE5697">
        <w:trPr>
          <w:trHeight w:val="721"/>
        </w:trPr>
        <w:tc>
          <w:tcPr>
            <w:tcW w:w="1809" w:type="dxa"/>
          </w:tcPr>
          <w:p w:rsidR="00E302BE" w:rsidRPr="00AE5697" w:rsidRDefault="00AD09BD" w:rsidP="00AD09BD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Comments</w:t>
            </w:r>
          </w:p>
        </w:tc>
        <w:tc>
          <w:tcPr>
            <w:tcW w:w="7938" w:type="dxa"/>
          </w:tcPr>
          <w:p w:rsidR="00E302BE" w:rsidRPr="00AE5697" w:rsidRDefault="00E302BE" w:rsidP="00AB670E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</w:tbl>
    <w:p w:rsidR="00475825" w:rsidRPr="00AE5697" w:rsidRDefault="00475825" w:rsidP="00C6686B">
      <w:pPr>
        <w:rPr>
          <w:rStyle w:val="Heading2Char"/>
          <w:color w:val="auto"/>
          <w:sz w:val="22"/>
          <w:szCs w:val="22"/>
          <w:lang w:val="en-GB"/>
        </w:rPr>
      </w:pPr>
    </w:p>
    <w:sectPr w:rsidR="00475825" w:rsidRPr="00AE5697" w:rsidSect="00F430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72"/>
    <w:rsid w:val="000110FB"/>
    <w:rsid w:val="0003398C"/>
    <w:rsid w:val="000602E5"/>
    <w:rsid w:val="000D0DE0"/>
    <w:rsid w:val="001F1FC6"/>
    <w:rsid w:val="002B3DA2"/>
    <w:rsid w:val="002E01DD"/>
    <w:rsid w:val="00475825"/>
    <w:rsid w:val="00476459"/>
    <w:rsid w:val="004D5D13"/>
    <w:rsid w:val="005E2677"/>
    <w:rsid w:val="006265A9"/>
    <w:rsid w:val="00626B90"/>
    <w:rsid w:val="00771CDF"/>
    <w:rsid w:val="0078763C"/>
    <w:rsid w:val="007B373A"/>
    <w:rsid w:val="00862872"/>
    <w:rsid w:val="008748BE"/>
    <w:rsid w:val="00A47827"/>
    <w:rsid w:val="00AB670E"/>
    <w:rsid w:val="00AD09BD"/>
    <w:rsid w:val="00AE5697"/>
    <w:rsid w:val="00B925E9"/>
    <w:rsid w:val="00C34433"/>
    <w:rsid w:val="00C6686B"/>
    <w:rsid w:val="00DA53F8"/>
    <w:rsid w:val="00E302BE"/>
    <w:rsid w:val="00E934AB"/>
    <w:rsid w:val="00F430B9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2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7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758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0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2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7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758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0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5E53-C2BF-487F-8DC6-5876A4E7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Farinosi</dc:creator>
  <cp:lastModifiedBy>Fabio Farinosi</cp:lastModifiedBy>
  <cp:revision>5</cp:revision>
  <dcterms:created xsi:type="dcterms:W3CDTF">2013-06-25T15:49:00Z</dcterms:created>
  <dcterms:modified xsi:type="dcterms:W3CDTF">2013-07-25T13:40:00Z</dcterms:modified>
</cp:coreProperties>
</file>